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3456EE7D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3777D9">
        <w:rPr>
          <w:rFonts w:ascii="Lato" w:eastAsia="Calibri" w:hAnsi="Lato" w:cs="Arial"/>
          <w:bCs w:val="0"/>
          <w:sz w:val="22"/>
          <w:szCs w:val="22"/>
          <w:lang w:eastAsia="en-US"/>
        </w:rPr>
        <w:t>476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09A98A6A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554D8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DIRETOR </w:t>
      </w:r>
      <w:r w:rsidR="003777D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DA GESTÃO SUAS</w:t>
      </w:r>
      <w:r w:rsidR="00A7488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– DAS 5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4DC5FB9E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9D61CE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9D61CE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bookmarkStart w:id="1" w:name="_GoBack"/>
      <w:r w:rsidR="003777D9" w:rsidRPr="003777D9">
        <w:rPr>
          <w:rFonts w:ascii="Lato" w:eastAsia="Times New Roman" w:hAnsi="Lato"/>
          <w:b/>
          <w:bCs/>
          <w:sz w:val="24"/>
          <w:szCs w:val="24"/>
          <w:lang w:eastAsia="pt-BR"/>
        </w:rPr>
        <w:t>AMANDA REGINA SILVA COSTA</w:t>
      </w:r>
      <w:bookmarkEnd w:id="1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3777D9" w:rsidRPr="003777D9">
        <w:rPr>
          <w:rFonts w:ascii="Lato" w:hAnsi="Lato" w:cs="Arial"/>
          <w:sz w:val="24"/>
          <w:szCs w:val="24"/>
        </w:rPr>
        <w:t>45679480-3</w:t>
      </w:r>
      <w:r w:rsidR="003777D9">
        <w:rPr>
          <w:rFonts w:ascii="Lato" w:hAnsi="Lato" w:cs="Arial"/>
          <w:sz w:val="24"/>
          <w:szCs w:val="24"/>
        </w:rPr>
        <w:t>/SSP/SP</w:t>
      </w:r>
      <w:r w:rsidR="0036202C" w:rsidRPr="0036202C">
        <w:rPr>
          <w:rFonts w:ascii="Lato" w:hAnsi="Lato" w:cs="Arial"/>
          <w:sz w:val="24"/>
          <w:szCs w:val="24"/>
        </w:rPr>
        <w:t xml:space="preserve"> e CPF n° </w:t>
      </w:r>
      <w:r w:rsidR="003777D9" w:rsidRPr="003777D9">
        <w:rPr>
          <w:rFonts w:ascii="Lato" w:hAnsi="Lato" w:cs="Arial"/>
          <w:sz w:val="24"/>
          <w:szCs w:val="24"/>
        </w:rPr>
        <w:t>434.829.818.17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3777D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 DA GESTÃO SUAS – DAS 5</w:t>
      </w:r>
      <w:r w:rsidR="00B87D7C" w:rsidRPr="002579F6">
        <w:rPr>
          <w:rFonts w:ascii="Lato" w:hAnsi="Lato" w:cs="Arial"/>
          <w:b/>
          <w:bCs/>
        </w:rPr>
        <w:t>,</w:t>
      </w:r>
      <w:r w:rsidR="00B87D7C" w:rsidRPr="002579F6">
        <w:rPr>
          <w:rFonts w:ascii="Lato" w:hAnsi="Lato" w:cs="Arial"/>
          <w:b/>
          <w:bCs/>
        </w:rPr>
        <w:t xml:space="preserve">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2011FF98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3777D9">
        <w:rPr>
          <w:rFonts w:ascii="Lato" w:hAnsi="Lato" w:cs="Arial"/>
        </w:rPr>
        <w:t>250/2025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3777D9">
        <w:rPr>
          <w:rFonts w:ascii="Lato" w:hAnsi="Lato" w:cs="Arial"/>
        </w:rPr>
        <w:t>14 de maio de 2025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777D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777D9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777D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53C67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777D9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25A3A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54D80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D61CE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7488C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6600A"/>
    <w:rsid w:val="00C72540"/>
    <w:rsid w:val="00C91659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2025-11-04T15:05:00Z</cp:lastPrinted>
  <dcterms:created xsi:type="dcterms:W3CDTF">2025-11-12T14:06:00Z</dcterms:created>
  <dcterms:modified xsi:type="dcterms:W3CDTF">2025-11-12T14:06:00Z</dcterms:modified>
</cp:coreProperties>
</file>